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Barnet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Barnet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Barnet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Barnet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Barnet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Barnet are estimated to have a score of 1-2 on the PGSI (low-risk gambling), whilst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Barnet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Barnet is estimated to be </w:t>
      </w:r>
      <w:r w:rsidRPr="00773DF7">
        <w:rPr>
          <w:rFonts w:ascii="Libre Franklin Light" w:eastAsia="Times New Roman" w:hAnsi="Libre Franklin Light" w:cs="Calibri Light"/>
          <w:b/>
          <w:bCs/>
          <w:color w:val="C45911" w:themeColor="accent2" w:themeShade="BF"/>
        </w:rPr>
        <w:t xml:space="preserve">£6,975,696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Barnet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Barnet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rn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Barnet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rn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Barnet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Barnet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rn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Barnet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Barnet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Barnet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Barnet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Barnet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Barnet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£6,975,696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Barnet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£113,623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£2,349,780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£168,330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£47,343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£86,795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£4,209,825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£6,975,696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Barnet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Barnet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Barnet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Barnet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Barnet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Barnet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Barnet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Barnet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D399E74-42FF-4028-BAD1-B2027F99F69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